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552"/>
        <w:gridCol w:w="1524"/>
      </w:tblGrid>
      <w:tr w:rsidR="00016ECD" w:rsidTr="00016ECD">
        <w:trPr>
          <w:trHeight w:val="340"/>
        </w:trPr>
        <w:tc>
          <w:tcPr>
            <w:tcW w:w="568" w:type="dxa"/>
          </w:tcPr>
          <w:p w:rsidR="00016ECD" w:rsidRDefault="00016ECD"/>
        </w:tc>
        <w:tc>
          <w:tcPr>
            <w:tcW w:w="2126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JUZGADO</w:t>
            </w:r>
            <w:r w:rsidR="00AD6971">
              <w:rPr>
                <w:b/>
              </w:rPr>
              <w:t>/TRIBUNAL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2552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Nº RESOLUCION</w:t>
            </w:r>
          </w:p>
        </w:tc>
        <w:tc>
          <w:tcPr>
            <w:tcW w:w="1524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FECHA RESOLUCION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Tribunal Supremo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Recurso casación (Ordinario 281/2016)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Auto firme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14/10/2020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2.-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Tribunal Supremo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Recurso casación (Ordinario 725/2017)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Providencia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8/4/2021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3.-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 xml:space="preserve">Tribunal Superior de Justicia 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Recurso contencioso administrativo nº 167/2018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nº 152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30/3/2021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4.-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Tribunal Superior de Justicia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Recurso contencioso administrativo nº 345/2018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nº 188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31/3/2021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5.-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Ordinario 730/2018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nº 140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22/3/2021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6.-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Abreviado 174/2019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firme nº 67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27/2/2020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7.-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Ordinario 845/2019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firme nº 102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4/3/2021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8.-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Ordinario 164/2020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nº 179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8/4/2021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9.-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Abreviado 264/2020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firme  nº 108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31/3/2021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10.-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Abreviado 295/2020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firme nº 112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31/3/2021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11.-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Derechos Fundamentales 516/2020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nº 185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27/4/2021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12.-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Abreviado 745/2020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Auto nº 64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10/2/2021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13.-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Abreviado 50/2021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Auto firme nº 89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8/3/2021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14.-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Contencioso Administrativo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Abreviado 51/2021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Auto nº 75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25/2/2021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15.-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de Primera Instancia Villajoyosa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Juicio Verbal 428/2016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nº 32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9/4/2021</w:t>
            </w:r>
          </w:p>
        </w:tc>
      </w:tr>
      <w:tr w:rsidR="00016ECD" w:rsidTr="00016ECD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16.-</w:t>
            </w:r>
          </w:p>
        </w:tc>
        <w:tc>
          <w:tcPr>
            <w:tcW w:w="2126" w:type="dxa"/>
            <w:hideMark/>
          </w:tcPr>
          <w:p w:rsidR="00016ECD" w:rsidRDefault="00016ECD">
            <w:r>
              <w:t>Juzgado de lo Penal de Alicante</w:t>
            </w:r>
          </w:p>
        </w:tc>
        <w:tc>
          <w:tcPr>
            <w:tcW w:w="2268" w:type="dxa"/>
            <w:hideMark/>
          </w:tcPr>
          <w:p w:rsidR="00016ECD" w:rsidRDefault="00016ECD">
            <w:r>
              <w:t>Abreviado 498/2017</w:t>
            </w:r>
          </w:p>
        </w:tc>
        <w:tc>
          <w:tcPr>
            <w:tcW w:w="2552" w:type="dxa"/>
            <w:hideMark/>
          </w:tcPr>
          <w:p w:rsidR="00016ECD" w:rsidRDefault="00016ECD">
            <w:r>
              <w:t>Sentencia nº 85</w:t>
            </w:r>
          </w:p>
        </w:tc>
        <w:tc>
          <w:tcPr>
            <w:tcW w:w="1524" w:type="dxa"/>
            <w:hideMark/>
          </w:tcPr>
          <w:p w:rsidR="00016ECD" w:rsidRDefault="00016ECD">
            <w:r>
              <w:t>25/3/2021</w:t>
            </w:r>
          </w:p>
        </w:tc>
      </w:tr>
    </w:tbl>
    <w:p w:rsidR="00FB292E" w:rsidRDefault="00FB292E"/>
    <w:sectPr w:rsidR="00FB2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D"/>
    <w:rsid w:val="00016ECD"/>
    <w:rsid w:val="00AD6971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16E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16E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2</cp:revision>
  <dcterms:created xsi:type="dcterms:W3CDTF">2021-05-14T06:31:00Z</dcterms:created>
  <dcterms:modified xsi:type="dcterms:W3CDTF">2021-05-14T06:34:00Z</dcterms:modified>
</cp:coreProperties>
</file>